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87" w:type="dxa"/>
        <w:tblLayout w:type="fixed"/>
        <w:tblLook w:val="04A0" w:firstRow="1" w:lastRow="0" w:firstColumn="1" w:lastColumn="0" w:noHBand="0" w:noVBand="1"/>
      </w:tblPr>
      <w:tblGrid>
        <w:gridCol w:w="1548"/>
        <w:gridCol w:w="612"/>
        <w:gridCol w:w="5940"/>
        <w:gridCol w:w="555"/>
        <w:gridCol w:w="705"/>
        <w:gridCol w:w="127"/>
      </w:tblGrid>
      <w:tr w:rsidR="009A1B49" w14:paraId="250B7D26" w14:textId="77777777" w:rsidTr="00D536B8">
        <w:trPr>
          <w:gridAfter w:val="1"/>
          <w:wAfter w:w="127" w:type="dxa"/>
          <w:trHeight w:val="1610"/>
        </w:trPr>
        <w:tc>
          <w:tcPr>
            <w:tcW w:w="21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68275BE" w14:textId="77777777" w:rsidR="00416828" w:rsidRPr="00A904FE" w:rsidRDefault="00D536B8" w:rsidP="00A904FE">
            <w:r>
              <w:rPr>
                <w:noProof/>
              </w:rPr>
              <w:drawing>
                <wp:inline distT="0" distB="0" distL="0" distR="0" wp14:anchorId="15E2EDF4" wp14:editId="3DCF54A6">
                  <wp:extent cx="1166883" cy="1296538"/>
                  <wp:effectExtent l="0" t="0" r="0" b="0"/>
                  <wp:docPr id="2" name="Picture 1" descr="COTlogo_viner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logo_vinertranspare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24" cy="131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5EBC46E" w14:textId="34E2D3F4" w:rsidR="00416828" w:rsidRPr="00D536B8" w:rsidRDefault="004C5E4B" w:rsidP="00416828">
            <w:pPr>
              <w:jc w:val="center"/>
              <w:rPr>
                <w:rFonts w:ascii="Gotham Condensed Bold" w:hAnsi="Gotham Condensed Bold"/>
                <w:i/>
                <w:sz w:val="48"/>
                <w:szCs w:val="48"/>
              </w:rPr>
            </w:pPr>
            <w:r w:rsidRPr="00D536B8">
              <w:rPr>
                <w:rFonts w:ascii="Gotham Condensed Bold" w:hAnsi="Gotham Condensed Bold"/>
                <w:i/>
                <w:sz w:val="48"/>
                <w:szCs w:val="48"/>
              </w:rPr>
              <w:t xml:space="preserve">City of </w:t>
            </w:r>
            <w:r w:rsidR="009A1B49" w:rsidRPr="00D536B8">
              <w:rPr>
                <w:rFonts w:ascii="Gotham Condensed Bold" w:hAnsi="Gotham Condensed Bold"/>
                <w:i/>
                <w:sz w:val="48"/>
                <w:szCs w:val="48"/>
              </w:rPr>
              <w:t>T</w:t>
            </w:r>
            <w:r w:rsidR="002649D6" w:rsidRPr="00D536B8">
              <w:rPr>
                <w:rFonts w:ascii="Gotham Condensed Bold" w:hAnsi="Gotham Condensed Bold"/>
                <w:i/>
                <w:sz w:val="48"/>
                <w:szCs w:val="48"/>
              </w:rPr>
              <w:t>ualatin</w:t>
            </w:r>
            <w:r w:rsidR="009A1B49" w:rsidRPr="00D536B8">
              <w:rPr>
                <w:rFonts w:ascii="Gotham Condensed Bold" w:hAnsi="Gotham Condensed Bold"/>
                <w:i/>
                <w:sz w:val="48"/>
                <w:szCs w:val="48"/>
              </w:rPr>
              <w:t xml:space="preserve"> </w:t>
            </w:r>
          </w:p>
          <w:p w14:paraId="60DB7199" w14:textId="5E4EC0C9" w:rsidR="00416828" w:rsidRPr="00D536B8" w:rsidRDefault="00416828" w:rsidP="00416828">
            <w:pPr>
              <w:jc w:val="center"/>
              <w:rPr>
                <w:rFonts w:ascii="Gotham Condensed Bold" w:hAnsi="Gotham Condensed Bold"/>
                <w:i/>
                <w:sz w:val="48"/>
                <w:szCs w:val="48"/>
              </w:rPr>
            </w:pPr>
            <w:r w:rsidRPr="00D536B8">
              <w:rPr>
                <w:rFonts w:ascii="Gotham Condensed Bold" w:hAnsi="Gotham Condensed Bold"/>
                <w:i/>
                <w:sz w:val="48"/>
                <w:szCs w:val="48"/>
              </w:rPr>
              <w:t>MEDIA RELEASE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DA1D8EA" w14:textId="77777777" w:rsidR="00416828" w:rsidRDefault="00416828" w:rsidP="00416828">
            <w:pPr>
              <w:jc w:val="right"/>
            </w:pPr>
          </w:p>
        </w:tc>
      </w:tr>
      <w:tr w:rsidR="00416828" w14:paraId="298C9B61" w14:textId="77777777" w:rsidTr="00D536B8">
        <w:trPr>
          <w:trHeight w:val="498"/>
        </w:trPr>
        <w:tc>
          <w:tcPr>
            <w:tcW w:w="15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4CCE31C" w14:textId="77777777" w:rsidR="00416828" w:rsidRPr="009A1B49" w:rsidRDefault="00416828" w:rsidP="00B5507A">
            <w:pPr>
              <w:jc w:val="center"/>
              <w:rPr>
                <w:highlight w:val="yellow"/>
              </w:rPr>
            </w:pPr>
          </w:p>
        </w:tc>
        <w:tc>
          <w:tcPr>
            <w:tcW w:w="710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3318DE1" w14:textId="57566D0D" w:rsidR="00416828" w:rsidRPr="00D536B8" w:rsidRDefault="00B5507A" w:rsidP="00B5507A">
            <w:pPr>
              <w:jc w:val="center"/>
              <w:rPr>
                <w:rFonts w:ascii="Gotham Condensed Light" w:hAnsi="Gotham Condensed Light" w:cs="Arial"/>
                <w:b/>
                <w:color w:val="FF0000"/>
                <w:sz w:val="28"/>
                <w:szCs w:val="28"/>
              </w:rPr>
            </w:pPr>
            <w:r w:rsidRPr="00D536B8">
              <w:rPr>
                <w:rFonts w:ascii="Gotham Condensed Light" w:hAnsi="Gotham Condensed Light" w:cs="Arial"/>
                <w:b/>
                <w:color w:val="FF0000"/>
                <w:sz w:val="28"/>
                <w:szCs w:val="28"/>
              </w:rPr>
              <w:t xml:space="preserve">INFORMATION </w:t>
            </w:r>
            <w:r w:rsidR="00F84C01" w:rsidRPr="00D536B8">
              <w:rPr>
                <w:rFonts w:ascii="Gotham Condensed Light" w:hAnsi="Gotham Condensed Light" w:cs="Arial"/>
                <w:b/>
                <w:color w:val="FF0000"/>
                <w:sz w:val="28"/>
                <w:szCs w:val="28"/>
              </w:rPr>
              <w:t>FOR IMMEDIATE RELEASE</w:t>
            </w:r>
          </w:p>
        </w:tc>
        <w:tc>
          <w:tcPr>
            <w:tcW w:w="83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F1CA903" w14:textId="77777777" w:rsidR="00416828" w:rsidRDefault="00416828"/>
        </w:tc>
      </w:tr>
    </w:tbl>
    <w:p w14:paraId="1231A711" w14:textId="56D0A354" w:rsidR="009A1B49" w:rsidRDefault="009A1B49" w:rsidP="009A1B49">
      <w:pPr>
        <w:spacing w:after="0"/>
      </w:pPr>
    </w:p>
    <w:p w14:paraId="299EB866" w14:textId="440703F6" w:rsidR="00A23CB3" w:rsidRPr="00A23CB3" w:rsidRDefault="00A23CB3" w:rsidP="009A1B49">
      <w:pPr>
        <w:spacing w:after="0"/>
        <w:rPr>
          <w:b/>
          <w:sz w:val="36"/>
          <w:szCs w:val="36"/>
          <w:u w:val="single"/>
        </w:rPr>
      </w:pPr>
      <w:r w:rsidRPr="00A23CB3">
        <w:rPr>
          <w:b/>
          <w:sz w:val="36"/>
          <w:szCs w:val="36"/>
          <w:u w:val="single"/>
        </w:rPr>
        <w:t>NEWS RELEASE</w:t>
      </w:r>
    </w:p>
    <w:p w14:paraId="24CE7593" w14:textId="52DDEAF3" w:rsidR="00A23CB3" w:rsidRPr="00A23CB3" w:rsidRDefault="00A23CB3" w:rsidP="009A1B49">
      <w:pPr>
        <w:spacing w:after="0"/>
        <w:rPr>
          <w:b/>
        </w:rPr>
      </w:pPr>
    </w:p>
    <w:p w14:paraId="3CDD0D29" w14:textId="0D37FBCA" w:rsidR="00A23CB3" w:rsidRPr="00A23CB3" w:rsidRDefault="00A23CB3" w:rsidP="009A1B49">
      <w:pPr>
        <w:spacing w:after="0"/>
        <w:rPr>
          <w:b/>
          <w:sz w:val="24"/>
          <w:szCs w:val="24"/>
        </w:rPr>
      </w:pPr>
      <w:r w:rsidRPr="00A23CB3">
        <w:rPr>
          <w:b/>
          <w:sz w:val="24"/>
          <w:szCs w:val="24"/>
        </w:rPr>
        <w:t>For Immediate Release</w:t>
      </w:r>
    </w:p>
    <w:p w14:paraId="3FA7E37A" w14:textId="100785E7" w:rsidR="00A23CB3" w:rsidRDefault="00A23CB3" w:rsidP="009A1B49">
      <w:pPr>
        <w:spacing w:after="0"/>
      </w:pPr>
    </w:p>
    <w:p w14:paraId="5E0794E0" w14:textId="50582822" w:rsidR="00A23CB3" w:rsidRPr="00A11829" w:rsidRDefault="00A23CB3" w:rsidP="009A1B49">
      <w:pPr>
        <w:spacing w:after="0"/>
      </w:pPr>
      <w:r w:rsidRPr="00A11829">
        <w:t xml:space="preserve">Date: </w:t>
      </w:r>
      <w:r w:rsidR="006C59FF">
        <w:t>0</w:t>
      </w:r>
      <w:bookmarkStart w:id="0" w:name="_GoBack"/>
      <w:bookmarkEnd w:id="0"/>
      <w:r w:rsidR="00F17733" w:rsidRPr="00A11829">
        <w:t>1</w:t>
      </w:r>
      <w:r w:rsidR="00A11829" w:rsidRPr="00A11829">
        <w:t>/17</w:t>
      </w:r>
      <w:r w:rsidRPr="00A11829">
        <w:t>/</w:t>
      </w:r>
      <w:r w:rsidR="0064744B" w:rsidRPr="00A11829">
        <w:t>20</w:t>
      </w:r>
    </w:p>
    <w:p w14:paraId="51217F20" w14:textId="51675D83" w:rsidR="00A23CB3" w:rsidRPr="00F17733" w:rsidRDefault="00A23CB3" w:rsidP="009A1B49">
      <w:pPr>
        <w:spacing w:after="0"/>
        <w:rPr>
          <w:highlight w:val="yellow"/>
        </w:rPr>
      </w:pPr>
    </w:p>
    <w:p w14:paraId="0D0BAE3A" w14:textId="42A15D8D" w:rsidR="008845EC" w:rsidRPr="00632533" w:rsidRDefault="00A11829" w:rsidP="008845EC">
      <w:pPr>
        <w:pBdr>
          <w:bottom w:val="single" w:sz="12" w:space="1" w:color="auto"/>
        </w:pBd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Jeff Fuchs</w:t>
      </w:r>
      <w:r w:rsidR="008845EC">
        <w:rPr>
          <w:b/>
          <w:sz w:val="24"/>
          <w:szCs w:val="24"/>
        </w:rPr>
        <w:br/>
      </w:r>
      <w:r>
        <w:rPr>
          <w:bCs/>
          <w:sz w:val="24"/>
          <w:szCs w:val="24"/>
        </w:rPr>
        <w:t>Public Works Director</w:t>
      </w:r>
      <w:r w:rsidR="008845EC" w:rsidRPr="00141D60">
        <w:rPr>
          <w:bCs/>
          <w:sz w:val="24"/>
          <w:szCs w:val="24"/>
        </w:rPr>
        <w:br/>
        <w:t>503-691-3</w:t>
      </w:r>
      <w:r w:rsidR="008845E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90</w:t>
      </w:r>
      <w:r w:rsidR="008845EC" w:rsidRPr="00141D60">
        <w:rPr>
          <w:bCs/>
          <w:sz w:val="24"/>
          <w:szCs w:val="24"/>
        </w:rPr>
        <w:br/>
      </w:r>
      <w:hyperlink r:id="rId7" w:history="1">
        <w:r w:rsidRPr="00651036">
          <w:rPr>
            <w:rStyle w:val="Hyperlink"/>
            <w:bCs/>
            <w:sz w:val="24"/>
            <w:szCs w:val="24"/>
          </w:rPr>
          <w:t>jfuchs@tualatin.gov</w:t>
        </w:r>
      </w:hyperlink>
      <w:r w:rsidR="008845EC">
        <w:rPr>
          <w:bCs/>
          <w:sz w:val="24"/>
          <w:szCs w:val="24"/>
        </w:rPr>
        <w:t xml:space="preserve"> </w:t>
      </w:r>
      <w:r w:rsidR="008845EC">
        <w:rPr>
          <w:b/>
          <w:sz w:val="24"/>
          <w:szCs w:val="24"/>
        </w:rPr>
        <w:t xml:space="preserve"> </w:t>
      </w:r>
    </w:p>
    <w:p w14:paraId="43BF2591" w14:textId="53595EB0" w:rsidR="00A23CB3" w:rsidRDefault="00A23CB3" w:rsidP="009A1B49">
      <w:pPr>
        <w:pBdr>
          <w:bottom w:val="single" w:sz="12" w:space="1" w:color="auto"/>
        </w:pBdr>
        <w:spacing w:after="0"/>
      </w:pPr>
    </w:p>
    <w:p w14:paraId="3AE5D530" w14:textId="3B15F84D" w:rsidR="00A23CB3" w:rsidRPr="000E03EB" w:rsidRDefault="00A23CB3" w:rsidP="009A1B49">
      <w:pPr>
        <w:spacing w:after="0"/>
        <w:rPr>
          <w:b/>
          <w:bCs/>
          <w:sz w:val="24"/>
          <w:szCs w:val="24"/>
        </w:rPr>
      </w:pPr>
    </w:p>
    <w:p w14:paraId="6B9D33D0" w14:textId="7AD3563F" w:rsidR="000E03EB" w:rsidRPr="000E03EB" w:rsidRDefault="000E03EB" w:rsidP="00BC3F42">
      <w:pPr>
        <w:rPr>
          <w:b/>
          <w:bCs/>
          <w:sz w:val="24"/>
          <w:szCs w:val="24"/>
        </w:rPr>
      </w:pPr>
      <w:r w:rsidRPr="000E03EB">
        <w:rPr>
          <w:b/>
          <w:bCs/>
          <w:sz w:val="24"/>
          <w:szCs w:val="24"/>
        </w:rPr>
        <w:t xml:space="preserve">Local Businesses Partner with </w:t>
      </w:r>
      <w:r w:rsidR="008845EC">
        <w:rPr>
          <w:b/>
          <w:bCs/>
          <w:sz w:val="24"/>
          <w:szCs w:val="24"/>
        </w:rPr>
        <w:t>Tualatin</w:t>
      </w:r>
      <w:r w:rsidRPr="000E03EB">
        <w:rPr>
          <w:b/>
          <w:bCs/>
          <w:sz w:val="24"/>
          <w:szCs w:val="24"/>
        </w:rPr>
        <w:t xml:space="preserve"> on Traffic Safety Improvements</w:t>
      </w:r>
    </w:p>
    <w:p w14:paraId="06863474" w14:textId="55C4603C" w:rsidR="000E03EB" w:rsidRDefault="000E03EB" w:rsidP="00BC3F42">
      <w:r>
        <w:t xml:space="preserve">The City of Tualatin is partnering with local employers to install transportation </w:t>
      </w:r>
      <w:r w:rsidR="008845EC">
        <w:t>projects that improve worker safety on streets near employment centers.</w:t>
      </w:r>
      <w:r>
        <w:t xml:space="preserve"> “We love to </w:t>
      </w:r>
      <w:r w:rsidR="00E35401">
        <w:t>partner</w:t>
      </w:r>
      <w:r>
        <w:t xml:space="preserve"> with interested local businesses</w:t>
      </w:r>
      <w:r w:rsidR="00EE0F59">
        <w:t xml:space="preserve"> – and we can often help with the cost</w:t>
      </w:r>
      <w:r>
        <w:t xml:space="preserve">,” says Public Works Director, Jeff Fuchs, P.E. </w:t>
      </w:r>
    </w:p>
    <w:p w14:paraId="1E5F3136" w14:textId="367470E4" w:rsidR="000E03EB" w:rsidRDefault="00EE0F59" w:rsidP="00BC3F42">
      <w:r>
        <w:t>Leveraging</w:t>
      </w:r>
      <w:r w:rsidR="000E03EB">
        <w:t xml:space="preserve"> funds from the $20 million transportation bond program approved by </w:t>
      </w:r>
      <w:r>
        <w:t xml:space="preserve">Tualatin </w:t>
      </w:r>
      <w:r w:rsidR="000E03EB">
        <w:t xml:space="preserve">voters in 2018, the City is </w:t>
      </w:r>
      <w:r w:rsidR="00411A78">
        <w:t>working</w:t>
      </w:r>
      <w:r w:rsidR="000E03EB">
        <w:t xml:space="preserve"> to make traffic safety and congestion improvements citywide. More than 30 projects are planned, and five are already built. </w:t>
      </w:r>
    </w:p>
    <w:p w14:paraId="2E64E965" w14:textId="74BD348E" w:rsidR="008845EC" w:rsidRDefault="000E03EB" w:rsidP="00411A78">
      <w:r>
        <w:t xml:space="preserve">An upcoming project will </w:t>
      </w:r>
      <w:r w:rsidR="00EE0F59">
        <w:t xml:space="preserve">enhance the </w:t>
      </w:r>
      <w:r>
        <w:t xml:space="preserve">mid-block pedestrian crossing </w:t>
      </w:r>
      <w:r w:rsidR="007179FE">
        <w:t>installed</w:t>
      </w:r>
      <w:r>
        <w:t xml:space="preserve"> in 2017 at Portland General Electric’s facility on Mohawk Dr</w:t>
      </w:r>
      <w:r w:rsidR="008845EC">
        <w:t xml:space="preserve">ive near Martinazzi. </w:t>
      </w:r>
      <w:r w:rsidR="00EE0F59">
        <w:t>Before, w</w:t>
      </w:r>
      <w:r>
        <w:t>ith the PGE campus situated on both sides of Mohawk</w:t>
      </w:r>
      <w:r w:rsidR="00411A78">
        <w:t>,</w:t>
      </w:r>
      <w:r>
        <w:t xml:space="preserve"> up to </w:t>
      </w:r>
      <w:r w:rsidR="0064744B">
        <w:t>4</w:t>
      </w:r>
      <w:r>
        <w:t>00 workers per day cross</w:t>
      </w:r>
      <w:r w:rsidR="00EE0F59">
        <w:t>ed</w:t>
      </w:r>
      <w:r w:rsidR="00B84EB8">
        <w:t xml:space="preserve"> the street</w:t>
      </w:r>
      <w:r>
        <w:t xml:space="preserve"> </w:t>
      </w:r>
      <w:r w:rsidR="00EE0F59">
        <w:t>without a marked crossing</w:t>
      </w:r>
      <w:r>
        <w:t xml:space="preserve">. </w:t>
      </w:r>
      <w:r w:rsidR="00BB4979">
        <w:t>Many had expressed concern about the unsafe crossing.</w:t>
      </w:r>
    </w:p>
    <w:p w14:paraId="794224ED" w14:textId="208F00A2" w:rsidR="00F17733" w:rsidRDefault="000E03EB" w:rsidP="00BC3F42">
      <w:r>
        <w:t xml:space="preserve">Initial crossing improvements were designed by City staff with PGE paying for installation. </w:t>
      </w:r>
      <w:r w:rsidR="00BC3F42">
        <w:t xml:space="preserve">Now, rapid flashing </w:t>
      </w:r>
      <w:r w:rsidR="00EE0F59">
        <w:t>beacons</w:t>
      </w:r>
      <w:r w:rsidR="00BC3F42">
        <w:t xml:space="preserve"> will be added to further improve pedestrian safety for PGE employees at a</w:t>
      </w:r>
      <w:r w:rsidR="00E35401">
        <w:t xml:space="preserve">n estimated </w:t>
      </w:r>
      <w:r w:rsidR="00BC3F42">
        <w:t xml:space="preserve">cost of </w:t>
      </w:r>
      <w:r w:rsidR="00BC3F42" w:rsidRPr="00E35401">
        <w:t>$</w:t>
      </w:r>
      <w:r w:rsidR="00E35401">
        <w:t>40,000</w:t>
      </w:r>
      <w:r w:rsidR="00BC3F42">
        <w:t xml:space="preserve">. </w:t>
      </w:r>
      <w:r w:rsidR="00411A78">
        <w:t>“These new rapid flashing beacons have been very effective wherever we have installed them at pedestrian crossings and in school zones,” says Fuchs</w:t>
      </w:r>
      <w:r w:rsidR="0064744B">
        <w:t>, who also served as project manager for the initial crossing installation on Mohawk.</w:t>
      </w:r>
    </w:p>
    <w:p w14:paraId="68E32DF3" w14:textId="77777777" w:rsidR="00411A78" w:rsidRDefault="00411A78">
      <w:r>
        <w:br w:type="page"/>
      </w:r>
    </w:p>
    <w:p w14:paraId="3EAD8639" w14:textId="215F1BF8" w:rsidR="00BC3F42" w:rsidRDefault="0064744B" w:rsidP="00BC3F42">
      <w:r>
        <w:lastRenderedPageBreak/>
        <w:t xml:space="preserve">The safer crossing has been embraced by PGE employees, and was featured in the company’s </w:t>
      </w:r>
      <w:r w:rsidRPr="0064744B">
        <w:rPr>
          <w:i/>
        </w:rPr>
        <w:t>Safety Line</w:t>
      </w:r>
      <w:r>
        <w:t xml:space="preserve"> publication. </w:t>
      </w:r>
      <w:r w:rsidR="00BC3F42">
        <w:t>Sara</w:t>
      </w:r>
      <w:r w:rsidR="00411A78">
        <w:t>h</w:t>
      </w:r>
      <w:r w:rsidR="00BC3F42">
        <w:t xml:space="preserve"> S</w:t>
      </w:r>
      <w:r w:rsidR="008845EC">
        <w:t>ims</w:t>
      </w:r>
      <w:r w:rsidR="00EE0F59">
        <w:t>,</w:t>
      </w:r>
      <w:r>
        <w:t xml:space="preserve"> manager of</w:t>
      </w:r>
      <w:r w:rsidR="00EE0F59">
        <w:t xml:space="preserve"> </w:t>
      </w:r>
      <w:r w:rsidR="00BC3F42">
        <w:t>PGE</w:t>
      </w:r>
      <w:r>
        <w:t>’s Customer Service Center</w:t>
      </w:r>
      <w:r w:rsidR="00BC3F42">
        <w:t xml:space="preserve"> says </w:t>
      </w:r>
      <w:r w:rsidR="00BC3F42" w:rsidRPr="0064744B">
        <w:t>“</w:t>
      </w:r>
      <w:r w:rsidRPr="0064744B">
        <w:t>I fully appreciate the partnership. The City was willing to understand our concerns and make this work</w:t>
      </w:r>
      <w:r w:rsidR="00BC3F42" w:rsidRPr="0064744B">
        <w:t>.”</w:t>
      </w:r>
    </w:p>
    <w:p w14:paraId="5929ACB1" w14:textId="232F86F7" w:rsidR="00BC3F42" w:rsidRDefault="00BC3F42" w:rsidP="00BC3F42">
      <w:r>
        <w:t xml:space="preserve">A similar mid-block crossing with rapid flashing </w:t>
      </w:r>
      <w:r w:rsidR="00EE0F59">
        <w:t>beacons</w:t>
      </w:r>
      <w:r>
        <w:t xml:space="preserve"> was constructed in 2018 at the</w:t>
      </w:r>
      <w:r w:rsidR="00411A78">
        <w:t xml:space="preserve"> Lam Research</w:t>
      </w:r>
      <w:r>
        <w:t xml:space="preserve"> campus on </w:t>
      </w:r>
      <w:proofErr w:type="spellStart"/>
      <w:r>
        <w:t>Leveton</w:t>
      </w:r>
      <w:proofErr w:type="spellEnd"/>
      <w:r>
        <w:t xml:space="preserve"> R</w:t>
      </w:r>
      <w:r w:rsidR="00EE0F59">
        <w:t>oa</w:t>
      </w:r>
      <w:r>
        <w:t xml:space="preserve">d, where 3,000 employees are headquartered. </w:t>
      </w:r>
    </w:p>
    <w:p w14:paraId="202EA0A1" w14:textId="038B5EDB" w:rsidR="00BC3F42" w:rsidRDefault="00BC3F42" w:rsidP="00BC3F42">
      <w:r>
        <w:t>Tualatin business</w:t>
      </w:r>
      <w:r w:rsidR="008845EC">
        <w:t>es</w:t>
      </w:r>
      <w:r>
        <w:t xml:space="preserve"> interested in traffic safety projects should contact </w:t>
      </w:r>
      <w:r w:rsidR="00E35401" w:rsidRPr="00E35401">
        <w:t>Jeff Fuchs</w:t>
      </w:r>
      <w:r w:rsidR="00E35401">
        <w:t xml:space="preserve">, P.E. at </w:t>
      </w:r>
      <w:r w:rsidR="00E35401" w:rsidRPr="00E35401">
        <w:rPr>
          <w:u w:val="single"/>
        </w:rPr>
        <w:t>jfuchs@tualatin.gov</w:t>
      </w:r>
      <w:r>
        <w:t xml:space="preserve"> or go to </w:t>
      </w:r>
      <w:r w:rsidRPr="00EE0F59">
        <w:rPr>
          <w:u w:val="single"/>
        </w:rPr>
        <w:t>TualatinMovingForward.com</w:t>
      </w:r>
      <w:r>
        <w:t xml:space="preserve">. </w:t>
      </w:r>
      <w:r w:rsidR="0064744B">
        <w:t xml:space="preserve"> Sarah Sims of PGE advises</w:t>
      </w:r>
      <w:r w:rsidR="00BB4979">
        <w:t xml:space="preserve"> other Tualatin employers</w:t>
      </w:r>
      <w:r w:rsidR="0064744B">
        <w:t>: “Don’t be afraid to make the call.”</w:t>
      </w:r>
    </w:p>
    <w:p w14:paraId="1EEB5420" w14:textId="450706A0" w:rsidR="00BC3F42" w:rsidRDefault="00BC3F42" w:rsidP="00F17733">
      <w:pPr>
        <w:spacing w:after="0"/>
      </w:pPr>
    </w:p>
    <w:p w14:paraId="3995FF0B" w14:textId="5BFAF952" w:rsidR="00BC3F42" w:rsidRDefault="00BC3F42" w:rsidP="00BC3F42">
      <w:pPr>
        <w:spacing w:after="0"/>
        <w:jc w:val="center"/>
      </w:pPr>
      <w:r>
        <w:t># # #</w:t>
      </w:r>
    </w:p>
    <w:sectPr w:rsidR="00BC3F42" w:rsidSect="00A904FE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733B5" w14:textId="77777777" w:rsidR="005B1ED9" w:rsidRDefault="005B1ED9" w:rsidP="00F84C01">
      <w:pPr>
        <w:spacing w:after="0" w:line="240" w:lineRule="auto"/>
      </w:pPr>
      <w:r>
        <w:separator/>
      </w:r>
    </w:p>
  </w:endnote>
  <w:endnote w:type="continuationSeparator" w:id="0">
    <w:p w14:paraId="07BB4696" w14:textId="77777777" w:rsidR="005B1ED9" w:rsidRDefault="005B1ED9" w:rsidP="00F8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Condens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Condensed Light">
    <w:altName w:val="Calibri"/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5A9B" w14:textId="77777777" w:rsidR="004C39F5" w:rsidRPr="00B5507A" w:rsidRDefault="004C39F5" w:rsidP="00B5507A">
    <w:pPr>
      <w:pStyle w:val="Footer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City of </w:t>
    </w:r>
    <w:r w:rsidRPr="00B5507A">
      <w:rPr>
        <w:rFonts w:ascii="Arial" w:hAnsi="Arial" w:cs="Arial"/>
        <w:b/>
        <w:i/>
        <w:sz w:val="16"/>
        <w:szCs w:val="16"/>
      </w:rPr>
      <w:t xml:space="preserve">TUALATIN </w:t>
    </w:r>
    <w:r>
      <w:rPr>
        <w:rFonts w:ascii="Arial" w:hAnsi="Arial" w:cs="Arial"/>
        <w:b/>
        <w:i/>
        <w:sz w:val="16"/>
        <w:szCs w:val="16"/>
      </w:rPr>
      <w:t xml:space="preserve"> </w:t>
    </w:r>
  </w:p>
  <w:p w14:paraId="7A39AC72" w14:textId="77777777" w:rsidR="004C39F5" w:rsidRPr="00B5507A" w:rsidRDefault="004C39F5" w:rsidP="009A1B49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18880 SW Martinazzi Ave   </w:t>
    </w:r>
    <w:r w:rsidRPr="00B5507A">
      <w:rPr>
        <w:rFonts w:ascii="Arial" w:hAnsi="Arial" w:cs="Arial"/>
        <w:i/>
        <w:sz w:val="16"/>
        <w:szCs w:val="16"/>
      </w:rPr>
      <w:t>Tualatin, Oregon 97062</w:t>
    </w:r>
  </w:p>
  <w:p w14:paraId="11997DD7" w14:textId="77777777" w:rsidR="004C39F5" w:rsidRPr="00B5507A" w:rsidRDefault="004C39F5" w:rsidP="00B5507A">
    <w:pPr>
      <w:pStyle w:val="Footer"/>
      <w:jc w:val="center"/>
      <w:rPr>
        <w:rFonts w:ascii="Arial" w:hAnsi="Arial" w:cs="Arial"/>
        <w:i/>
        <w:sz w:val="16"/>
        <w:szCs w:val="16"/>
      </w:rPr>
    </w:pPr>
    <w:r w:rsidRPr="00B5507A">
      <w:rPr>
        <w:rFonts w:ascii="Arial" w:hAnsi="Arial" w:cs="Arial"/>
        <w:i/>
        <w:sz w:val="16"/>
        <w:szCs w:val="16"/>
      </w:rPr>
      <w:t xml:space="preserve"> Ph# 503-691-</w:t>
    </w:r>
    <w:r>
      <w:rPr>
        <w:rFonts w:ascii="Arial" w:hAnsi="Arial" w:cs="Arial"/>
        <w:i/>
        <w:sz w:val="16"/>
        <w:szCs w:val="16"/>
      </w:rPr>
      <w:t>3090</w:t>
    </w:r>
    <w:r w:rsidRPr="00B5507A">
      <w:rPr>
        <w:rFonts w:ascii="Arial" w:hAnsi="Arial" w:cs="Arial"/>
        <w:i/>
        <w:sz w:val="16"/>
        <w:szCs w:val="16"/>
      </w:rPr>
      <w:t xml:space="preserve">   Fax 503-692-</w:t>
    </w:r>
    <w:r>
      <w:rPr>
        <w:rFonts w:ascii="Arial" w:hAnsi="Arial" w:cs="Arial"/>
        <w:i/>
        <w:sz w:val="16"/>
        <w:szCs w:val="16"/>
      </w:rPr>
      <w:t>2024</w:t>
    </w:r>
  </w:p>
  <w:p w14:paraId="487D4E49" w14:textId="77777777" w:rsidR="004C39F5" w:rsidRPr="00B5507A" w:rsidRDefault="004C39F5" w:rsidP="00B5507A">
    <w:pPr>
      <w:pStyle w:val="Footer"/>
      <w:jc w:val="center"/>
      <w:rPr>
        <w:rFonts w:ascii="Arial" w:hAnsi="Arial" w:cs="Arial"/>
        <w:i/>
        <w:sz w:val="18"/>
        <w:szCs w:val="18"/>
      </w:rPr>
    </w:pPr>
    <w:r w:rsidRPr="00B5507A">
      <w:rPr>
        <w:rFonts w:ascii="Arial" w:hAnsi="Arial" w:cs="Arial"/>
        <w:i/>
        <w:sz w:val="18"/>
        <w:szCs w:val="18"/>
      </w:rPr>
      <w:t>www.tualatinoregon.gov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2F68" w14:textId="77777777" w:rsidR="005B1ED9" w:rsidRDefault="005B1ED9" w:rsidP="00F84C01">
      <w:pPr>
        <w:spacing w:after="0" w:line="240" w:lineRule="auto"/>
      </w:pPr>
      <w:r>
        <w:separator/>
      </w:r>
    </w:p>
  </w:footnote>
  <w:footnote w:type="continuationSeparator" w:id="0">
    <w:p w14:paraId="395BD1EE" w14:textId="77777777" w:rsidR="005B1ED9" w:rsidRDefault="005B1ED9" w:rsidP="00F84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xMDa1tDA0NzAxNDJW0lEKTi0uzszPAykwrAUA6gn34CwAAAA="/>
  </w:docVars>
  <w:rsids>
    <w:rsidRoot w:val="009E09C7"/>
    <w:rsid w:val="000621A8"/>
    <w:rsid w:val="00070A19"/>
    <w:rsid w:val="000963EA"/>
    <w:rsid w:val="000B657B"/>
    <w:rsid w:val="000D79FD"/>
    <w:rsid w:val="000E03EB"/>
    <w:rsid w:val="00117B4E"/>
    <w:rsid w:val="00120428"/>
    <w:rsid w:val="001541B2"/>
    <w:rsid w:val="00166B18"/>
    <w:rsid w:val="001757ED"/>
    <w:rsid w:val="001922AC"/>
    <w:rsid w:val="00202E3C"/>
    <w:rsid w:val="002263E1"/>
    <w:rsid w:val="00226B05"/>
    <w:rsid w:val="002637A9"/>
    <w:rsid w:val="002649D6"/>
    <w:rsid w:val="002713BC"/>
    <w:rsid w:val="00281798"/>
    <w:rsid w:val="002B03BE"/>
    <w:rsid w:val="002C0562"/>
    <w:rsid w:val="002D33E8"/>
    <w:rsid w:val="002D639B"/>
    <w:rsid w:val="00311A4E"/>
    <w:rsid w:val="00315B97"/>
    <w:rsid w:val="00333E1C"/>
    <w:rsid w:val="003501B0"/>
    <w:rsid w:val="003775F5"/>
    <w:rsid w:val="003B09DB"/>
    <w:rsid w:val="00400089"/>
    <w:rsid w:val="00411A78"/>
    <w:rsid w:val="00416828"/>
    <w:rsid w:val="00446AE9"/>
    <w:rsid w:val="00457CF0"/>
    <w:rsid w:val="004A3588"/>
    <w:rsid w:val="004A7E0A"/>
    <w:rsid w:val="004C39F5"/>
    <w:rsid w:val="004C5E4B"/>
    <w:rsid w:val="004F142C"/>
    <w:rsid w:val="0050613A"/>
    <w:rsid w:val="005A027E"/>
    <w:rsid w:val="005B1ED9"/>
    <w:rsid w:val="005C76DF"/>
    <w:rsid w:val="005E0B84"/>
    <w:rsid w:val="006056A9"/>
    <w:rsid w:val="00627842"/>
    <w:rsid w:val="006301BA"/>
    <w:rsid w:val="00643713"/>
    <w:rsid w:val="0064744B"/>
    <w:rsid w:val="00654F80"/>
    <w:rsid w:val="006776FC"/>
    <w:rsid w:val="006C59FF"/>
    <w:rsid w:val="006C7A99"/>
    <w:rsid w:val="006F3EBE"/>
    <w:rsid w:val="00700B54"/>
    <w:rsid w:val="00705E93"/>
    <w:rsid w:val="007179FE"/>
    <w:rsid w:val="0077530A"/>
    <w:rsid w:val="00791B7B"/>
    <w:rsid w:val="007C5844"/>
    <w:rsid w:val="008415C0"/>
    <w:rsid w:val="008522D5"/>
    <w:rsid w:val="00852685"/>
    <w:rsid w:val="008531F6"/>
    <w:rsid w:val="008845EC"/>
    <w:rsid w:val="00885FB0"/>
    <w:rsid w:val="008D4E88"/>
    <w:rsid w:val="009272DA"/>
    <w:rsid w:val="00971C82"/>
    <w:rsid w:val="00976CAB"/>
    <w:rsid w:val="00987EA5"/>
    <w:rsid w:val="009A1B49"/>
    <w:rsid w:val="009E09C7"/>
    <w:rsid w:val="009E561B"/>
    <w:rsid w:val="00A1129B"/>
    <w:rsid w:val="00A11829"/>
    <w:rsid w:val="00A14B7D"/>
    <w:rsid w:val="00A23CB3"/>
    <w:rsid w:val="00A5706C"/>
    <w:rsid w:val="00A904FE"/>
    <w:rsid w:val="00A97794"/>
    <w:rsid w:val="00AC3762"/>
    <w:rsid w:val="00AE4999"/>
    <w:rsid w:val="00B5507A"/>
    <w:rsid w:val="00B84EB8"/>
    <w:rsid w:val="00BA0F01"/>
    <w:rsid w:val="00BA68BB"/>
    <w:rsid w:val="00BB4979"/>
    <w:rsid w:val="00BC3F42"/>
    <w:rsid w:val="00BE6DA3"/>
    <w:rsid w:val="00BE713C"/>
    <w:rsid w:val="00C031FD"/>
    <w:rsid w:val="00C21ADA"/>
    <w:rsid w:val="00C22634"/>
    <w:rsid w:val="00C3385F"/>
    <w:rsid w:val="00C606B2"/>
    <w:rsid w:val="00C80263"/>
    <w:rsid w:val="00C93882"/>
    <w:rsid w:val="00C955EE"/>
    <w:rsid w:val="00CA4E91"/>
    <w:rsid w:val="00CC4477"/>
    <w:rsid w:val="00D12B1D"/>
    <w:rsid w:val="00D24EB8"/>
    <w:rsid w:val="00D536B8"/>
    <w:rsid w:val="00D86C4E"/>
    <w:rsid w:val="00DA5E13"/>
    <w:rsid w:val="00DB744B"/>
    <w:rsid w:val="00DD3A72"/>
    <w:rsid w:val="00DD4DC8"/>
    <w:rsid w:val="00DF5F30"/>
    <w:rsid w:val="00E019DF"/>
    <w:rsid w:val="00E35401"/>
    <w:rsid w:val="00EC22E6"/>
    <w:rsid w:val="00EE0F59"/>
    <w:rsid w:val="00F17733"/>
    <w:rsid w:val="00F56AAA"/>
    <w:rsid w:val="00F81441"/>
    <w:rsid w:val="00F84C01"/>
    <w:rsid w:val="00FC21A6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07A458"/>
  <w15:docId w15:val="{195C5CA8-7075-495F-9EF7-B57FBE4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01"/>
  </w:style>
  <w:style w:type="paragraph" w:styleId="Footer">
    <w:name w:val="footer"/>
    <w:basedOn w:val="Normal"/>
    <w:link w:val="FooterChar"/>
    <w:uiPriority w:val="99"/>
    <w:unhideWhenUsed/>
    <w:rsid w:val="00F8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01"/>
  </w:style>
  <w:style w:type="character" w:customStyle="1" w:styleId="scayt-misspell-word2">
    <w:name w:val="scayt-misspell-word2"/>
    <w:basedOn w:val="DefaultParagraphFont"/>
    <w:rsid w:val="00A97794"/>
    <w:rPr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33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E1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9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12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84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5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fuchs@tualat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gpickering</dc:creator>
  <cp:lastModifiedBy>Megan George</cp:lastModifiedBy>
  <cp:revision>2</cp:revision>
  <cp:lastPrinted>2019-12-11T18:38:00Z</cp:lastPrinted>
  <dcterms:created xsi:type="dcterms:W3CDTF">2020-01-17T19:50:00Z</dcterms:created>
  <dcterms:modified xsi:type="dcterms:W3CDTF">2020-01-17T19:50:00Z</dcterms:modified>
</cp:coreProperties>
</file>